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5D82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</w:p>
    <w:p w14:paraId="2764EAB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>Appendix 1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Resources with the potential to construct newsworthiness in English.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( Bednarek et al., 2021:707)</w:t>
      </w:r>
    </w:p>
    <w:p w14:paraId="365F43D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</w:p>
    <w:tbl>
      <w:tblPr>
        <w:tblStyle w:val="5"/>
        <w:tblW w:w="8498" w:type="dxa"/>
        <w:jc w:val="right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1274"/>
        <w:gridCol w:w="2484"/>
        <w:gridCol w:w="4740"/>
      </w:tblGrid>
      <w:tr w14:paraId="55E6D7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tcBorders>
              <w:top w:val="single" w:color="000000" w:sz="12" w:space="0"/>
              <w:bottom w:val="single" w:color="auto" w:sz="4" w:space="0"/>
            </w:tcBorders>
            <w:vAlign w:val="top"/>
          </w:tcPr>
          <w:p w14:paraId="76F2582A">
            <w:pPr>
              <w:snapToGrid w:val="0"/>
              <w:spacing w:line="240" w:lineRule="auto"/>
              <w:rPr>
                <w:rFonts w:ascii="Arial"/>
                <w:color w:val="auto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color="000000" w:sz="12" w:space="0"/>
              <w:bottom w:val="single" w:color="auto" w:sz="4" w:space="0"/>
            </w:tcBorders>
            <w:vAlign w:val="top"/>
          </w:tcPr>
          <w:p w14:paraId="16508C82">
            <w:pPr>
              <w:snapToGrid w:val="0"/>
              <w:spacing w:line="240" w:lineRule="auto"/>
              <w:rPr>
                <w:rFonts w:ascii="Arial"/>
                <w:color w:val="auto"/>
                <w:sz w:val="18"/>
                <w:szCs w:val="18"/>
              </w:rPr>
            </w:pPr>
          </w:p>
        </w:tc>
        <w:tc>
          <w:tcPr>
            <w:tcW w:w="4821" w:type="dxa"/>
            <w:tcBorders>
              <w:top w:val="single" w:color="000000" w:sz="12" w:space="0"/>
              <w:bottom w:val="single" w:color="auto" w:sz="4" w:space="0"/>
            </w:tcBorders>
            <w:vAlign w:val="top"/>
          </w:tcPr>
          <w:p w14:paraId="50925E27">
            <w:pPr>
              <w:snapToGrid w:val="0"/>
              <w:spacing w:line="240" w:lineRule="auto"/>
              <w:ind w:left="173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position w:val="1"/>
                <w:sz w:val="18"/>
                <w:szCs w:val="18"/>
              </w:rPr>
              <w:t>.</w:t>
            </w:r>
          </w:p>
        </w:tc>
      </w:tr>
      <w:tr w14:paraId="4E9AED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tcBorders>
              <w:top w:val="single" w:color="auto" w:sz="4" w:space="0"/>
              <w:bottom w:val="nil"/>
            </w:tcBorders>
            <w:vAlign w:val="top"/>
          </w:tcPr>
          <w:p w14:paraId="2E532D2E">
            <w:pPr>
              <w:snapToGrid w:val="0"/>
              <w:spacing w:before="19" w:line="240" w:lineRule="auto"/>
              <w:ind w:right="2"/>
              <w:jc w:val="right"/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</w:pPr>
            <w:r>
              <w:rPr>
                <w:rFonts w:hint="eastAsia" w:ascii="Arial" w:hAnsi="Arial" w:eastAsia="Arial" w:cs="Arial"/>
                <w:color w:val="auto"/>
                <w:spacing w:val="9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 xml:space="preserve">ews value                     </w:t>
            </w:r>
          </w:p>
        </w:tc>
        <w:tc>
          <w:tcPr>
            <w:tcW w:w="2509" w:type="dxa"/>
            <w:tcBorders>
              <w:top w:val="single" w:color="auto" w:sz="4" w:space="0"/>
              <w:bottom w:val="nil"/>
            </w:tcBorders>
            <w:vAlign w:val="top"/>
          </w:tcPr>
          <w:p w14:paraId="690BE7FD">
            <w:pPr>
              <w:snapToGrid w:val="0"/>
              <w:spacing w:before="19" w:line="240" w:lineRule="auto"/>
              <w:ind w:right="2"/>
              <w:jc w:val="right"/>
              <w:rPr>
                <w:rFonts w:hint="default" w:ascii="Arial" w:hAnsi="Arial" w:eastAsia="宋体" w:cs="Arial"/>
                <w:color w:val="auto"/>
                <w:spacing w:val="9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auto"/>
                <w:spacing w:val="9"/>
                <w:sz w:val="18"/>
                <w:szCs w:val="18"/>
                <w:lang w:val="en-US" w:eastAsia="zh-CN"/>
              </w:rPr>
              <w:t xml:space="preserve">         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>The event is constructed as</w:t>
            </w:r>
            <w:r>
              <w:rPr>
                <w:rFonts w:hint="eastAsia" w:ascii="Arial" w:hAnsi="Arial" w:eastAsia="宋体" w:cs="Arial"/>
                <w:color w:val="auto"/>
                <w:spacing w:val="9"/>
                <w:sz w:val="18"/>
                <w:szCs w:val="18"/>
                <w:lang w:val="en-US" w:eastAsia="zh-CN"/>
              </w:rPr>
              <w:t>...</w:t>
            </w:r>
          </w:p>
        </w:tc>
        <w:tc>
          <w:tcPr>
            <w:tcW w:w="4821" w:type="dxa"/>
            <w:tcBorders>
              <w:top w:val="single" w:color="auto" w:sz="4" w:space="0"/>
              <w:bottom w:val="nil"/>
            </w:tcBorders>
            <w:vAlign w:val="top"/>
          </w:tcPr>
          <w:p w14:paraId="4F4865DC">
            <w:pPr>
              <w:snapToGrid w:val="0"/>
              <w:spacing w:before="19" w:line="240" w:lineRule="auto"/>
              <w:ind w:right="2"/>
              <w:jc w:val="center"/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>Linguistic resources</w:t>
            </w:r>
          </w:p>
        </w:tc>
      </w:tr>
      <w:tr w14:paraId="66DBF8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tcBorders>
              <w:top w:val="nil"/>
            </w:tcBorders>
            <w:vAlign w:val="top"/>
          </w:tcPr>
          <w:p w14:paraId="0E5057F9">
            <w:pPr>
              <w:snapToGrid w:val="0"/>
              <w:spacing w:before="74" w:line="240" w:lineRule="auto"/>
              <w:ind w:left="5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10"/>
                <w:sz w:val="18"/>
                <w:szCs w:val="18"/>
              </w:rPr>
              <w:t>Consonance</w:t>
            </w:r>
          </w:p>
        </w:tc>
        <w:tc>
          <w:tcPr>
            <w:tcW w:w="2509" w:type="dxa"/>
            <w:tcBorders>
              <w:top w:val="nil"/>
            </w:tcBorders>
            <w:vAlign w:val="top"/>
          </w:tcPr>
          <w:p w14:paraId="3D7F22D0">
            <w:pPr>
              <w:snapToGrid w:val="0"/>
              <w:spacing w:before="43" w:line="240" w:lineRule="auto"/>
              <w:ind w:left="146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(stereo)typical</w:t>
            </w:r>
          </w:p>
        </w:tc>
        <w:tc>
          <w:tcPr>
            <w:tcW w:w="4821" w:type="dxa"/>
            <w:tcBorders>
              <w:top w:val="nil"/>
            </w:tcBorders>
            <w:vAlign w:val="top"/>
          </w:tcPr>
          <w:p w14:paraId="4A8B0515">
            <w:pPr>
              <w:snapToGrid w:val="0"/>
              <w:spacing w:before="69" w:line="240" w:lineRule="auto"/>
              <w:ind w:firstLine="336" w:firstLineChars="200"/>
              <w:jc w:val="left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stereotypical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attrib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utes</w:t>
            </w:r>
            <w:r>
              <w:rPr>
                <w:rFonts w:ascii="Arial" w:hAnsi="Arial" w:eastAsia="Arial" w:cs="Arial"/>
                <w:color w:val="auto"/>
                <w:spacing w:val="10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or</w:t>
            </w:r>
          </w:p>
          <w:p w14:paraId="0128B3D2">
            <w:pPr>
              <w:snapToGrid w:val="0"/>
              <w:spacing w:before="5" w:line="240" w:lineRule="auto"/>
              <w:ind w:left="219"/>
              <w:jc w:val="left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position w:val="1"/>
                <w:sz w:val="18"/>
                <w:szCs w:val="18"/>
              </w:rPr>
              <w:t>preconceptions;</w:t>
            </w:r>
            <w:r>
              <w:rPr>
                <w:rFonts w:ascii="Arial" w:hAnsi="Arial" w:eastAsia="Arial" w:cs="Arial"/>
                <w:color w:val="auto"/>
                <w:spacing w:val="24"/>
                <w:w w:val="10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position w:val="1"/>
                <w:sz w:val="18"/>
                <w:szCs w:val="18"/>
              </w:rPr>
              <w:t>assessments</w:t>
            </w:r>
            <w:r>
              <w:rPr>
                <w:rFonts w:ascii="Arial" w:hAnsi="Arial" w:eastAsia="Arial" w:cs="Arial"/>
                <w:color w:val="auto"/>
                <w:spacing w:val="13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position w:val="1"/>
                <w:sz w:val="18"/>
                <w:szCs w:val="18"/>
              </w:rPr>
              <w:t>of expectedness/</w:t>
            </w:r>
          </w:p>
          <w:p w14:paraId="37B4E2EF">
            <w:pPr>
              <w:snapToGrid w:val="0"/>
              <w:spacing w:before="1" w:line="240" w:lineRule="auto"/>
              <w:ind w:left="213" w:hanging="1"/>
              <w:jc w:val="left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t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ypicality</w:t>
            </w:r>
            <w:r>
              <w:rPr>
                <w:rFonts w:ascii="Arial" w:hAnsi="Arial" w:eastAsia="Arial" w:cs="Arial"/>
                <w:color w:val="auto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typical, famed for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similarity with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past</w:t>
            </w:r>
            <w:r>
              <w:rPr>
                <w:rFonts w:ascii="Arial" w:hAnsi="Arial" w:eastAsia="Arial" w:cs="Arial"/>
                <w:color w:val="auto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ye</w:t>
            </w:r>
            <w:r>
              <w:rPr>
                <w:rFonts w:ascii="Malgun Gothic" w:hAnsi="Malgun Gothic" w:eastAsia="Malgun Gothic" w:cs="Malgun Gothic"/>
                <w:color w:val="auto"/>
                <w:spacing w:val="-5"/>
                <w:sz w:val="18"/>
                <w:szCs w:val="18"/>
              </w:rPr>
              <w:t>t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another, once again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explicit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2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general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  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knowledge/traditions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5"/>
                <w:sz w:val="18"/>
                <w:szCs w:val="18"/>
              </w:rPr>
              <w:t>we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ll-known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14:paraId="489EDC6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3A6837B5">
            <w:pPr>
              <w:snapToGrid w:val="0"/>
              <w:spacing w:before="27" w:line="240" w:lineRule="auto"/>
              <w:ind w:left="1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Eliteness</w:t>
            </w:r>
          </w:p>
        </w:tc>
        <w:tc>
          <w:tcPr>
            <w:tcW w:w="2509" w:type="dxa"/>
            <w:vAlign w:val="top"/>
          </w:tcPr>
          <w:p w14:paraId="04865B22">
            <w:pPr>
              <w:snapToGrid w:val="0"/>
              <w:spacing w:line="240" w:lineRule="auto"/>
              <w:ind w:left="261" w:right="113" w:hanging="12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high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status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fame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(includi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ng</w:t>
            </w:r>
            <w:r>
              <w:rPr>
                <w:rFonts w:ascii="Arial" w:hAnsi="Arial" w:eastAsia="Arial" w:cs="Arial"/>
                <w:color w:val="auto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news</w:t>
            </w:r>
            <w:r>
              <w:rPr>
                <w:rFonts w:ascii="Arial" w:hAnsi="Arial" w:eastAsia="Arial" w:cs="Arial"/>
                <w:color w:val="auto"/>
                <w:spacing w:val="10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actors,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organisations)</w:t>
            </w:r>
          </w:p>
        </w:tc>
        <w:tc>
          <w:tcPr>
            <w:tcW w:w="4821" w:type="dxa"/>
            <w:vAlign w:val="top"/>
          </w:tcPr>
          <w:p w14:paraId="76E11C2E">
            <w:pPr>
              <w:snapToGrid w:val="0"/>
              <w:spacing w:before="25" w:line="240" w:lineRule="auto"/>
              <w:ind w:left="205" w:right="4" w:hanging="115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Various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status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markers,</w:t>
            </w:r>
            <w:r>
              <w:rPr>
                <w:rFonts w:ascii="Arial" w:hAnsi="Arial" w:eastAsia="Arial" w:cs="Arial"/>
                <w:color w:val="auto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including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role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labels</w:t>
            </w:r>
            <w:r>
              <w:rPr>
                <w:rFonts w:ascii="Arial" w:hAnsi="Arial" w:eastAsia="Arial" w:cs="Arial"/>
                <w:color w:val="auto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Professor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Roger</w:t>
            </w:r>
            <w:r>
              <w:rPr>
                <w:rFonts w:ascii="Malgun Gothic" w:hAnsi="Malgun Gothic" w:eastAsia="Malgun Gothic" w:cs="Malgun Gothic"/>
                <w:color w:val="auto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Stone, experts)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; status-i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ndicating adjectives</w:t>
            </w:r>
            <w:r>
              <w:rPr>
                <w:rFonts w:ascii="Arial" w:hAnsi="Arial" w:eastAsia="Arial" w:cs="Arial"/>
                <w:color w:val="auto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the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prestigious Man Booker</w:t>
            </w:r>
            <w:r>
              <w:rPr>
                <w:rFonts w:ascii="Malgun Gothic" w:hAnsi="Malgun Gothic" w:eastAsia="Malgun Gothic" w:cs="Malgun Gothic"/>
                <w:color w:val="auto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prize, top diplomats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);</w:t>
            </w:r>
          </w:p>
          <w:p w14:paraId="1143C00B">
            <w:pPr>
              <w:snapToGrid w:val="0"/>
              <w:spacing w:before="2" w:line="240" w:lineRule="auto"/>
              <w:ind w:left="202" w:right="28" w:firstLine="17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recognised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names</w:t>
            </w:r>
            <w:r>
              <w:rPr>
                <w:rFonts w:ascii="Arial" w:hAnsi="Arial" w:eastAsia="Arial" w:cs="Arial"/>
                <w:color w:val="auto"/>
                <w:spacing w:val="14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Donald Trump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descrip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tions</w:t>
            </w:r>
            <w:r>
              <w:rPr>
                <w:rFonts w:ascii="Arial" w:hAnsi="Arial" w:eastAsia="Arial" w:cs="Arial"/>
                <w:color w:val="auto"/>
                <w:spacing w:val="1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 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achievement/fame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were selling millions of</w:t>
            </w:r>
            <w:r>
              <w:rPr>
                <w:rFonts w:ascii="Malgun Gothic" w:hAnsi="Malgun Gothic" w:eastAsia="Malgun Gothic" w:cs="Malgun Gothic"/>
                <w:color w:val="auto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reco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rds a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year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use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by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news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actors/sour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ces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of specialised/</w:t>
            </w:r>
          </w:p>
          <w:p w14:paraId="26172D01">
            <w:pPr>
              <w:snapToGrid w:val="0"/>
              <w:spacing w:line="240" w:lineRule="auto"/>
              <w:ind w:left="222" w:right="4" w:hanging="1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technical terminology, high-status accent or s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ociolect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[esp.</w:t>
            </w:r>
            <w:r>
              <w:rPr>
                <w:rFonts w:ascii="Arial" w:hAnsi="Arial" w:eastAsia="Arial" w:cs="Arial"/>
                <w:color w:val="auto"/>
                <w:spacing w:val="3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in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broadcast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news]</w:t>
            </w:r>
          </w:p>
        </w:tc>
      </w:tr>
      <w:tr w14:paraId="5C99EC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2B069FB5">
            <w:pPr>
              <w:snapToGrid w:val="0"/>
              <w:spacing w:line="240" w:lineRule="auto"/>
              <w:ind w:left="1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position w:val="2"/>
                <w:sz w:val="18"/>
                <w:szCs w:val="18"/>
              </w:rPr>
              <w:t>Impact</w:t>
            </w:r>
          </w:p>
        </w:tc>
        <w:tc>
          <w:tcPr>
            <w:tcW w:w="2509" w:type="dxa"/>
            <w:vAlign w:val="top"/>
          </w:tcPr>
          <w:p w14:paraId="74CEAF5A">
            <w:pPr>
              <w:snapToGrid w:val="0"/>
              <w:spacing w:line="240" w:lineRule="auto"/>
              <w:ind w:left="266" w:right="89" w:hanging="12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having signiﬁcant efects or consequences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(not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limited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impact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on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the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target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audience)</w:t>
            </w:r>
          </w:p>
        </w:tc>
        <w:tc>
          <w:tcPr>
            <w:tcW w:w="4821" w:type="dxa"/>
            <w:vAlign w:val="top"/>
          </w:tcPr>
          <w:p w14:paraId="2A0BF2BF">
            <w:pPr>
              <w:snapToGrid w:val="0"/>
              <w:spacing w:line="240" w:lineRule="auto"/>
              <w:ind w:left="93"/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Assessments</w:t>
            </w:r>
            <w:r>
              <w:rPr>
                <w:rFonts w:ascii="Arial" w:hAnsi="Arial" w:eastAsia="Arial" w:cs="Arial"/>
                <w:color w:val="auto"/>
                <w:spacing w:val="17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signiﬁcance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momentous, historic,</w:t>
            </w:r>
          </w:p>
          <w:p w14:paraId="4353A853">
            <w:pPr>
              <w:snapToGrid w:val="0"/>
              <w:spacing w:line="240" w:lineRule="auto"/>
              <w:ind w:left="21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crucial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26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representation</w:t>
            </w:r>
            <w:r>
              <w:rPr>
                <w:rFonts w:ascii="Arial" w:hAnsi="Arial" w:eastAsia="Arial" w:cs="Arial"/>
                <w:color w:val="auto"/>
                <w:spacing w:val="1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of actual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</w:t>
            </w:r>
            <w:r>
              <w:rPr>
                <w:rFonts w:ascii="Arial" w:hAnsi="Arial" w:eastAsia="Arial" w:cs="Arial"/>
                <w:color w:val="auto"/>
                <w:spacing w:val="16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non-actual</w:t>
            </w:r>
          </w:p>
          <w:p w14:paraId="72F65729">
            <w:pPr>
              <w:snapToGrid w:val="0"/>
              <w:spacing w:line="240" w:lineRule="auto"/>
              <w:ind w:left="21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signiﬁcant/relevant</w:t>
            </w:r>
            <w:r>
              <w:rPr>
                <w:rFonts w:ascii="Arial" w:hAnsi="Arial" w:eastAsia="Arial" w:cs="Arial"/>
                <w:color w:val="auto"/>
                <w:spacing w:val="12"/>
                <w:w w:val="10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consequences,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including</w:t>
            </w:r>
          </w:p>
          <w:p w14:paraId="24B8E775">
            <w:pPr>
              <w:snapToGrid w:val="0"/>
              <w:spacing w:before="1" w:line="240" w:lineRule="auto"/>
              <w:ind w:left="209" w:right="34" w:firstLine="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abstract,</w:t>
            </w:r>
            <w:r>
              <w:rPr>
                <w:rFonts w:ascii="Arial" w:hAnsi="Arial" w:eastAsia="Arial" w:cs="Arial"/>
                <w:color w:val="auto"/>
                <w:spacing w:val="28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material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</w:t>
            </w:r>
            <w:r>
              <w:rPr>
                <w:rFonts w:ascii="Arial" w:hAnsi="Arial" w:eastAsia="Arial" w:cs="Arial"/>
                <w:color w:val="auto"/>
                <w:spacing w:val="16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mental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efects</w:t>
            </w:r>
            <w:r>
              <w:rPr>
                <w:rFonts w:ascii="Arial" w:hAnsi="Arial" w:eastAsia="Arial" w:cs="Arial"/>
                <w:color w:val="auto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note that will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  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stun the</w:t>
            </w:r>
            <w:r>
              <w:rPr>
                <w:rFonts w:ascii="Malgun Gothic" w:hAnsi="Malgun Gothic" w:eastAsia="Malgun Gothic" w:cs="Malgun Gothic"/>
                <w:color w:val="auto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world, Australia could be left w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ith</w:t>
            </w:r>
            <w:r>
              <w:rPr>
                <w:rFonts w:ascii="Malgun Gothic" w:hAnsi="Malgun Gothic" w:eastAsia="Malgun Gothic" w:cs="Malgun Gothic"/>
                <w:color w:val="auto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no policy,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leaving scenes of</w:t>
            </w:r>
            <w:r>
              <w:rPr>
                <w:rFonts w:ascii="Malgun Gothic" w:hAnsi="Malgun Gothic" w:eastAsia="Malgun Gothic" w:cs="Malgun Gothic"/>
                <w:color w:val="auto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de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struction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</w:t>
            </w:r>
          </w:p>
        </w:tc>
      </w:tr>
      <w:tr w14:paraId="399ABE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1D78FB9B">
            <w:pPr>
              <w:snapToGrid w:val="0"/>
              <w:spacing w:before="32" w:line="240" w:lineRule="auto"/>
              <w:ind w:left="1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Negativity</w:t>
            </w:r>
          </w:p>
        </w:tc>
        <w:tc>
          <w:tcPr>
            <w:tcW w:w="2509" w:type="dxa"/>
            <w:vAlign w:val="top"/>
          </w:tcPr>
          <w:p w14:paraId="52CE75F2">
            <w:pPr>
              <w:snapToGrid w:val="0"/>
              <w:spacing w:line="240" w:lineRule="auto"/>
              <w:ind w:left="146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negative</w:t>
            </w:r>
          </w:p>
        </w:tc>
        <w:tc>
          <w:tcPr>
            <w:tcW w:w="4821" w:type="dxa"/>
            <w:vAlign w:val="top"/>
          </w:tcPr>
          <w:p w14:paraId="22D4D31A">
            <w:pPr>
              <w:snapToGrid w:val="0"/>
              <w:spacing w:before="26" w:line="240" w:lineRule="auto"/>
              <w:ind w:left="10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2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6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negative</w:t>
            </w:r>
            <w:r>
              <w:rPr>
                <w:rFonts w:ascii="Arial" w:hAnsi="Arial" w:eastAsia="Arial" w:cs="Arial"/>
                <w:color w:val="auto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emotion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and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attitude</w:t>
            </w:r>
          </w:p>
          <w:p w14:paraId="0680E7E2">
            <w:pPr>
              <w:snapToGrid w:val="0"/>
              <w:spacing w:before="5" w:line="240" w:lineRule="auto"/>
              <w:ind w:left="219" w:right="1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distraught, condemn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3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negative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evaluative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language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terrible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negative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lexis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conlict, dam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age, death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</w:p>
          <w:p w14:paraId="0D8CD0E9">
            <w:pPr>
              <w:snapToGrid w:val="0"/>
              <w:spacing w:line="240" w:lineRule="auto"/>
              <w:ind w:left="219" w:right="414" w:hanging="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descriptions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negative</w:t>
            </w:r>
            <w:r>
              <w:rPr>
                <w:rFonts w:ascii="Arial" w:hAnsi="Arial" w:eastAsia="Arial" w:cs="Arial"/>
                <w:color w:val="auto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(e.g.,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norm-breaking)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behaviour</w:t>
            </w:r>
            <w:r>
              <w:rPr>
                <w:rFonts w:ascii="Arial" w:hAnsi="Arial" w:eastAsia="Arial" w:cs="Arial"/>
                <w:color w:val="auto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has broken his p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romise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</w:t>
            </w:r>
          </w:p>
        </w:tc>
      </w:tr>
      <w:tr w14:paraId="0505DC6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493FE158">
            <w:pPr>
              <w:snapToGrid w:val="0"/>
              <w:spacing w:before="26" w:line="240" w:lineRule="auto"/>
              <w:ind w:left="121" w:right="191" w:hanging="111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10"/>
                <w:sz w:val="18"/>
                <w:szCs w:val="18"/>
              </w:rPr>
              <w:t>Personalisa-</w:t>
            </w:r>
            <w:r>
              <w:rPr>
                <w:rFonts w:ascii="Arial" w:hAnsi="Arial" w:eastAsia="Arial" w:cs="Arial"/>
                <w:color w:val="auto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1"/>
                <w:sz w:val="18"/>
                <w:szCs w:val="18"/>
              </w:rPr>
              <w:t>tion</w:t>
            </w:r>
          </w:p>
        </w:tc>
        <w:tc>
          <w:tcPr>
            <w:tcW w:w="2509" w:type="dxa"/>
            <w:vAlign w:val="top"/>
          </w:tcPr>
          <w:p w14:paraId="6DC850AC">
            <w:pPr>
              <w:snapToGrid w:val="0"/>
              <w:spacing w:before="1" w:line="240" w:lineRule="auto"/>
              <w:ind w:left="265" w:right="193" w:hanging="1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having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personal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 ‘human’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face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(involving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non-elite</w:t>
            </w:r>
            <w:r>
              <w:rPr>
                <w:rFonts w:ascii="Arial" w:hAnsi="Arial" w:eastAsia="Arial" w:cs="Arial"/>
                <w:color w:val="auto"/>
                <w:spacing w:val="19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actors)</w:t>
            </w:r>
          </w:p>
        </w:tc>
        <w:tc>
          <w:tcPr>
            <w:tcW w:w="4821" w:type="dxa"/>
            <w:vAlign w:val="top"/>
          </w:tcPr>
          <w:p w14:paraId="47CA2C3C">
            <w:pPr>
              <w:snapToGrid w:val="0"/>
              <w:spacing w:line="240" w:lineRule="auto"/>
              <w:ind w:left="10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17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to ‘ordinary’</w:t>
            </w:r>
            <w:r>
              <w:rPr>
                <w:rFonts w:ascii="Arial" w:hAnsi="Arial" w:eastAsia="Arial" w:cs="Arial"/>
                <w:color w:val="auto"/>
                <w:spacing w:val="16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people,</w:t>
            </w:r>
            <w:r>
              <w:rPr>
                <w:rFonts w:ascii="Arial" w:hAnsi="Arial" w:eastAsia="Arial" w:cs="Arial"/>
                <w:color w:val="auto"/>
                <w:spacing w:val="7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their</w:t>
            </w:r>
            <w:r>
              <w:rPr>
                <w:rFonts w:ascii="Arial" w:hAnsi="Arial" w:eastAsia="Arial" w:cs="Arial"/>
                <w:color w:val="auto"/>
                <w:spacing w:val="12"/>
                <w:w w:val="10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emotions,</w:t>
            </w:r>
          </w:p>
          <w:p w14:paraId="03941C76">
            <w:pPr>
              <w:snapToGrid w:val="0"/>
              <w:spacing w:before="1" w:line="240" w:lineRule="auto"/>
              <w:ind w:left="197" w:right="4" w:firstLine="17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experiences</w:t>
            </w:r>
            <w:r>
              <w:rPr>
                <w:rFonts w:ascii="Arial" w:hAnsi="Arial" w:eastAsia="Arial" w:cs="Arial"/>
                <w:color w:val="auto"/>
                <w:spacing w:val="2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Deborah said afterwards: ‘My sentence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 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has only</w:t>
            </w:r>
            <w:r>
              <w:rPr>
                <w:rFonts w:ascii="Malgun Gothic" w:hAnsi="Malgun Gothic" w:eastAsia="Malgun Gothic" w:cs="Malgun Gothic"/>
                <w:color w:val="auto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just begun’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use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by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news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actors/sources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‘everyday’ spoken lan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guage, accent, sociolect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[esp.</w:t>
            </w:r>
            <w:r>
              <w:rPr>
                <w:rFonts w:ascii="Arial" w:hAnsi="Arial" w:eastAsia="Arial" w:cs="Arial"/>
                <w:color w:val="auto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in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broadcast</w:t>
            </w:r>
            <w:r>
              <w:rPr>
                <w:rFonts w:ascii="Arial" w:hAnsi="Arial" w:eastAsia="Arial" w:cs="Arial"/>
                <w:color w:val="auto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news]</w:t>
            </w:r>
          </w:p>
        </w:tc>
      </w:tr>
      <w:tr w14:paraId="78149AE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2EBE1E66">
            <w:pPr>
              <w:snapToGrid w:val="0"/>
              <w:spacing w:before="31" w:line="240" w:lineRule="auto"/>
              <w:ind w:left="1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Positivity</w:t>
            </w:r>
          </w:p>
        </w:tc>
        <w:tc>
          <w:tcPr>
            <w:tcW w:w="2509" w:type="dxa"/>
            <w:vAlign w:val="top"/>
          </w:tcPr>
          <w:p w14:paraId="27C9267E">
            <w:pPr>
              <w:snapToGrid w:val="0"/>
              <w:spacing w:line="240" w:lineRule="auto"/>
              <w:ind w:left="145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positive</w:t>
            </w:r>
          </w:p>
        </w:tc>
        <w:tc>
          <w:tcPr>
            <w:tcW w:w="4821" w:type="dxa"/>
            <w:vAlign w:val="top"/>
          </w:tcPr>
          <w:p w14:paraId="1CB837F2">
            <w:pPr>
              <w:snapToGrid w:val="0"/>
              <w:spacing w:before="2" w:line="240" w:lineRule="auto"/>
              <w:ind w:left="100"/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19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positive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emotion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and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attitude</w:t>
            </w:r>
            <w:r>
              <w:rPr>
                <w:rFonts w:ascii="Arial" w:hAnsi="Arial" w:eastAsia="Arial" w:cs="Arial"/>
                <w:color w:val="auto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joy,</w:t>
            </w:r>
          </w:p>
          <w:p w14:paraId="2ABE91C4">
            <w:pPr>
              <w:snapToGrid w:val="0"/>
              <w:spacing w:line="240" w:lineRule="auto"/>
              <w:ind w:left="213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celebrate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2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positive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evaluative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language</w:t>
            </w:r>
            <w:r>
              <w:rPr>
                <w:rFonts w:ascii="Arial" w:hAnsi="Arial" w:eastAsia="Arial" w:cs="Arial"/>
                <w:color w:val="auto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brilliant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</w:p>
          <w:p w14:paraId="3E9B76A0">
            <w:pPr>
              <w:snapToGrid w:val="0"/>
              <w:spacing w:line="240" w:lineRule="auto"/>
              <w:ind w:left="218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positive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lexis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success, win, help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description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s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of</w:t>
            </w:r>
          </w:p>
          <w:p w14:paraId="75F016D2">
            <w:pPr>
              <w:snapToGrid w:val="0"/>
              <w:spacing w:before="1" w:line="240" w:lineRule="auto"/>
              <w:ind w:left="212" w:right="12" w:firstLine="6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positive</w:t>
            </w:r>
            <w:r>
              <w:rPr>
                <w:rFonts w:ascii="Arial" w:hAnsi="Arial" w:eastAsia="Arial" w:cs="Arial"/>
                <w:color w:val="auto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behaviour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unveiled a cabinet with an equal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number of</w:t>
            </w:r>
            <w:r>
              <w:rPr>
                <w:rFonts w:ascii="Malgun Gothic" w:hAnsi="Malgun Gothic" w:eastAsia="Malgun Gothic" w:cs="Malgun Gothic"/>
                <w:color w:val="auto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men and women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</w:t>
            </w:r>
          </w:p>
        </w:tc>
      </w:tr>
      <w:tr w14:paraId="7B26B1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6BBE1F67">
            <w:pPr>
              <w:snapToGrid w:val="0"/>
              <w:spacing w:before="30" w:line="240" w:lineRule="auto"/>
              <w:ind w:left="1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Proximity</w:t>
            </w:r>
          </w:p>
        </w:tc>
        <w:tc>
          <w:tcPr>
            <w:tcW w:w="2509" w:type="dxa"/>
            <w:vAlign w:val="top"/>
          </w:tcPr>
          <w:p w14:paraId="1E405C4B">
            <w:pPr>
              <w:snapToGrid w:val="0"/>
              <w:spacing w:line="240" w:lineRule="auto"/>
              <w:ind w:left="260" w:right="252" w:hanging="1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geographically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or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culturally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near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(the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targ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et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audience)</w:t>
            </w:r>
          </w:p>
        </w:tc>
        <w:tc>
          <w:tcPr>
            <w:tcW w:w="4821" w:type="dxa"/>
            <w:vAlign w:val="top"/>
          </w:tcPr>
          <w:p w14:paraId="095EBD47">
            <w:pPr>
              <w:snapToGrid w:val="0"/>
              <w:spacing w:before="24" w:line="240" w:lineRule="auto"/>
              <w:ind w:left="10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Explicit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place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national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ity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near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the</w:t>
            </w:r>
          </w:p>
          <w:p w14:paraId="07FCBBD3">
            <w:pPr>
              <w:snapToGrid w:val="0"/>
              <w:spacing w:before="5" w:line="240" w:lineRule="auto"/>
              <w:ind w:left="212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target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community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 xml:space="preserve">Australia, Canberra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woman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</w:p>
          <w:p w14:paraId="1C5C6A20">
            <w:pPr>
              <w:snapToGrid w:val="0"/>
              <w:spacing w:line="240" w:lineRule="auto"/>
              <w:ind w:left="2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8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9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the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nation/community</w:t>
            </w:r>
            <w:r>
              <w:rPr>
                <w:rFonts w:ascii="Arial" w:hAnsi="Arial" w:eastAsia="Arial" w:cs="Arial"/>
                <w:color w:val="auto"/>
                <w:spacing w:val="7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via</w:t>
            </w:r>
            <w:r>
              <w:rPr>
                <w:rFonts w:ascii="Arial" w:hAnsi="Arial" w:eastAsia="Arial" w:cs="Arial"/>
                <w:color w:val="auto"/>
                <w:spacing w:val="12"/>
                <w:w w:val="10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position w:val="2"/>
                <w:sz w:val="18"/>
                <w:szCs w:val="18"/>
              </w:rPr>
              <w:t>dei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ctics,</w:t>
            </w:r>
          </w:p>
          <w:p w14:paraId="23E2AA99">
            <w:pPr>
              <w:snapToGrid w:val="0"/>
              <w:spacing w:line="240" w:lineRule="auto"/>
              <w:ind w:left="214" w:right="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generic place references, adjectives 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here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 xml:space="preserve">,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the</w:t>
            </w:r>
            <w:r>
              <w:rPr>
                <w:rFonts w:ascii="Malgun Gothic" w:hAnsi="Malgun Gothic" w:eastAsia="Malgun Gothic" w:cs="Malgun Gothic"/>
                <w:color w:val="auto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nation’s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capital, home-grown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inclusive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ﬁrst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pe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rson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plural</w:t>
            </w:r>
          </w:p>
          <w:p w14:paraId="440E1DFD">
            <w:pPr>
              <w:snapToGrid w:val="0"/>
              <w:spacing w:before="1" w:line="240" w:lineRule="auto"/>
              <w:ind w:left="215" w:right="25" w:firstLine="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pronouns</w:t>
            </w:r>
            <w:r>
              <w:rPr>
                <w:rFonts w:ascii="Arial" w:hAnsi="Arial" w:eastAsia="Arial" w:cs="Arial"/>
                <w:color w:val="auto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our nation’s leader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s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6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use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by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news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actors/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sources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pacing w:val="1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[geographical]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accent/dia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lect</w:t>
            </w:r>
            <w:r>
              <w:rPr>
                <w:rFonts w:ascii="Arial" w:hAnsi="Arial" w:eastAsia="Arial" w:cs="Arial"/>
                <w:color w:val="auto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[esp.</w:t>
            </w:r>
            <w:r>
              <w:rPr>
                <w:rFonts w:ascii="Arial" w:hAnsi="Arial" w:eastAsia="Arial" w:cs="Arial"/>
                <w:color w:val="auto"/>
                <w:spacing w:val="14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in</w:t>
            </w:r>
          </w:p>
          <w:p w14:paraId="58DDDA84">
            <w:pPr>
              <w:snapToGrid w:val="0"/>
              <w:spacing w:before="1" w:line="240" w:lineRule="auto"/>
              <w:ind w:left="2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broadcast</w:t>
            </w:r>
            <w:r>
              <w:rPr>
                <w:rFonts w:ascii="Arial" w:hAnsi="Arial" w:eastAsia="Arial" w:cs="Arial"/>
                <w:color w:val="auto"/>
                <w:spacing w:val="16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news];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cultural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refe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rences</w:t>
            </w:r>
            <w:r>
              <w:rPr>
                <w:rFonts w:ascii="Arial" w:hAnsi="Arial" w:eastAsia="Arial" w:cs="Arial"/>
                <w:color w:val="auto"/>
                <w:spacing w:val="14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haka, prom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</w:t>
            </w:r>
          </w:p>
        </w:tc>
      </w:tr>
      <w:tr w14:paraId="38714D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0CF03C44">
            <w:pPr>
              <w:snapToGrid w:val="0"/>
              <w:spacing w:before="27" w:line="240" w:lineRule="auto"/>
              <w:ind w:left="129" w:right="186" w:hanging="124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Superlative-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12"/>
                <w:sz w:val="18"/>
                <w:szCs w:val="18"/>
              </w:rPr>
              <w:t>ness</w:t>
            </w:r>
          </w:p>
        </w:tc>
        <w:tc>
          <w:tcPr>
            <w:tcW w:w="2509" w:type="dxa"/>
            <w:vAlign w:val="top"/>
          </w:tcPr>
          <w:p w14:paraId="049E3223">
            <w:pPr>
              <w:snapToGrid w:val="0"/>
              <w:spacing w:line="240" w:lineRule="auto"/>
              <w:ind w:left="141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pacing w:val="25"/>
                <w:w w:val="102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high</w:t>
            </w:r>
            <w:r>
              <w:rPr>
                <w:rFonts w:ascii="Arial" w:hAnsi="Arial" w:eastAsia="Arial" w:cs="Arial"/>
                <w:color w:val="auto"/>
                <w:spacing w:val="14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intensity</w:t>
            </w:r>
            <w:r>
              <w:rPr>
                <w:rFonts w:ascii="Arial" w:hAnsi="Arial" w:eastAsia="Arial" w:cs="Arial"/>
                <w:color w:val="auto"/>
                <w:spacing w:val="1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or</w:t>
            </w:r>
            <w:r>
              <w:rPr>
                <w:rFonts w:ascii="Arial" w:hAnsi="Arial" w:eastAsia="Arial" w:cs="Arial"/>
                <w:color w:val="auto"/>
                <w:spacing w:val="17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large</w:t>
            </w:r>
            <w:r>
              <w:rPr>
                <w:rFonts w:ascii="Arial" w:hAnsi="Arial" w:eastAsia="Arial" w:cs="Arial"/>
                <w:color w:val="auto"/>
                <w:spacing w:val="11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scope</w:t>
            </w:r>
          </w:p>
        </w:tc>
        <w:tc>
          <w:tcPr>
            <w:tcW w:w="4821" w:type="dxa"/>
            <w:vAlign w:val="top"/>
          </w:tcPr>
          <w:p w14:paraId="6108A02D">
            <w:pPr>
              <w:snapToGrid w:val="0"/>
              <w:spacing w:line="240" w:lineRule="auto"/>
              <w:ind w:left="100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Intensiﬁers</w:t>
            </w:r>
            <w:r>
              <w:rPr>
                <w:rFonts w:ascii="Arial" w:hAnsi="Arial" w:eastAsia="Arial" w:cs="Arial"/>
                <w:color w:val="auto"/>
                <w:spacing w:val="31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severe, dramatically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quantiﬁers</w:t>
            </w:r>
          </w:p>
          <w:p w14:paraId="73ACAE7B">
            <w:pPr>
              <w:snapToGrid w:val="0"/>
              <w:spacing w:line="240" w:lineRule="auto"/>
              <w:ind w:left="2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thousands, huge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3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intensiﬁed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lexis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panic, smash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</w:p>
          <w:p w14:paraId="7610EE49">
            <w:pPr>
              <w:snapToGrid w:val="0"/>
              <w:spacing w:before="2" w:line="240" w:lineRule="auto"/>
              <w:ind w:left="214" w:firstLine="5"/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metaphor and simile</w:t>
            </w:r>
            <w:r>
              <w:rPr>
                <w:rFonts w:ascii="Arial" w:hAnsi="Arial" w:eastAsia="Arial" w:cs="Arial"/>
                <w:color w:val="auto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a tsun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ami</w:t>
            </w:r>
            <w:r>
              <w:rPr>
                <w:rFonts w:ascii="Malgun Gothic" w:hAnsi="Malgun Gothic" w:eastAsia="Malgun Gothic" w:cs="Malgun Gothic"/>
                <w:color w:val="auto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of</w:t>
            </w:r>
            <w:r>
              <w:rPr>
                <w:rFonts w:ascii="Malgun Gothic" w:hAnsi="Malgun Gothic" w:eastAsia="Malgun Gothic" w:cs="Malgun Gothic"/>
                <w:color w:val="auto"/>
                <w:spacing w:val="-28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crime, like a World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War II battle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comparison</w:t>
            </w:r>
            <w:r>
              <w:rPr>
                <w:rFonts w:ascii="Arial" w:hAnsi="Arial" w:eastAsia="Arial" w:cs="Arial"/>
                <w:color w:val="auto"/>
                <w:spacing w:val="14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the largest drug ring in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  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Detroit history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7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repetition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buildi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ng after building</w:t>
            </w:r>
          </w:p>
          <w:p w14:paraId="3B697324">
            <w:pPr>
              <w:snapToGrid w:val="0"/>
              <w:spacing w:line="240" w:lineRule="auto"/>
              <w:ind w:left="214" w:right="3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lattened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); lexis of growth (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a</w:t>
            </w:r>
            <w:r>
              <w:rPr>
                <w:rFonts w:ascii="Malgun Gothic" w:hAnsi="Malgun Gothic" w:eastAsia="Malgun Gothic" w:cs="Malgun Gothic"/>
                <w:color w:val="auto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growing</w:t>
            </w:r>
            <w:r>
              <w:rPr>
                <w:rFonts w:ascii="Malgun Gothic" w:hAnsi="Malgun Gothic" w:eastAsia="Malgun Gothic" w:cs="Malgun Gothic"/>
                <w:color w:val="auto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list</w:t>
            </w:r>
            <w:r>
              <w:rPr>
                <w:rFonts w:ascii="Malgun Gothic" w:hAnsi="Malgun Gothic" w:eastAsia="Malgun Gothic" w:cs="Malgun Gothic"/>
                <w:color w:val="auto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of,</w:t>
            </w:r>
            <w:r>
              <w:rPr>
                <w:rFonts w:ascii="Malgun Gothic" w:hAnsi="Malgun Gothic" w:eastAsia="Malgun Gothic" w:cs="Malgun Gothic"/>
                <w:color w:val="auto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scaling up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>eforts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6"/>
                <w:sz w:val="18"/>
                <w:szCs w:val="18"/>
              </w:rPr>
              <w:t xml:space="preserve">only/just/alone/already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+</w:t>
            </w:r>
            <w:r>
              <w:rPr>
                <w:rFonts w:ascii="Arial" w:hAnsi="Arial" w:eastAsia="Arial" w:cs="Arial"/>
                <w:color w:val="auto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time/distance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or</w:t>
            </w:r>
          </w:p>
          <w:p w14:paraId="08244498">
            <w:pPr>
              <w:snapToGrid w:val="0"/>
              <w:spacing w:line="240" w:lineRule="auto"/>
              <w:ind w:left="2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related</w:t>
            </w:r>
            <w:r>
              <w:rPr>
                <w:rFonts w:ascii="Arial" w:hAnsi="Arial" w:eastAsia="Arial" w:cs="Arial"/>
                <w:color w:val="auto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lexis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only hours after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</w:t>
            </w:r>
          </w:p>
        </w:tc>
      </w:tr>
      <w:tr w14:paraId="0633DDE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vAlign w:val="top"/>
          </w:tcPr>
          <w:p w14:paraId="667DF74E">
            <w:pPr>
              <w:snapToGrid w:val="0"/>
              <w:spacing w:before="26" w:line="240" w:lineRule="auto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Timeliness</w:t>
            </w:r>
          </w:p>
        </w:tc>
        <w:tc>
          <w:tcPr>
            <w:tcW w:w="2509" w:type="dxa"/>
            <w:vAlign w:val="top"/>
          </w:tcPr>
          <w:p w14:paraId="1C31944C">
            <w:pPr>
              <w:snapToGrid w:val="0"/>
              <w:spacing w:line="240" w:lineRule="auto"/>
              <w:ind w:left="261" w:right="90" w:hanging="123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timely</w:t>
            </w:r>
            <w:r>
              <w:rPr>
                <w:rFonts w:ascii="Arial" w:hAnsi="Arial" w:eastAsia="Arial" w:cs="Arial"/>
                <w:color w:val="auto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in</w:t>
            </w:r>
            <w:r>
              <w:rPr>
                <w:rFonts w:ascii="Arial" w:hAnsi="Arial" w:eastAsia="Arial" w:cs="Arial"/>
                <w:color w:val="auto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relation to the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publication date: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4"/>
                <w:sz w:val="18"/>
                <w:szCs w:val="18"/>
              </w:rPr>
              <w:t>new,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recent, ongoing, about to</w:t>
            </w:r>
            <w:r>
              <w:rPr>
                <w:rFonts w:ascii="Arial" w:hAnsi="Arial" w:eastAsia="Arial" w:cs="Arial"/>
                <w:color w:val="auto"/>
                <w:spacing w:val="2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happen,</w:t>
            </w:r>
            <w:r>
              <w:rPr>
                <w:rFonts w:ascii="Arial" w:hAnsi="Arial" w:eastAsia="Arial" w:cs="Arial"/>
                <w:color w:val="auto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5"/>
                <w:sz w:val="18"/>
                <w:szCs w:val="18"/>
              </w:rPr>
              <w:t>current or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11"/>
                <w:sz w:val="18"/>
                <w:szCs w:val="18"/>
              </w:rPr>
              <w:t>seasonal</w:t>
            </w:r>
          </w:p>
        </w:tc>
        <w:tc>
          <w:tcPr>
            <w:tcW w:w="4821" w:type="dxa"/>
            <w:vAlign w:val="top"/>
          </w:tcPr>
          <w:p w14:paraId="0201AC3E">
            <w:pPr>
              <w:snapToGrid w:val="0"/>
              <w:spacing w:before="1" w:line="240" w:lineRule="auto"/>
              <w:ind w:left="212" w:right="130" w:hanging="122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Temporal</w:t>
            </w:r>
            <w:r>
              <w:rPr>
                <w:rFonts w:ascii="Arial" w:hAnsi="Arial" w:eastAsia="Arial" w:cs="Arial"/>
                <w:color w:val="auto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14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today, yesterday’s, within days,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now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present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and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prese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nt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perfect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it is testing our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emergency resources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33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implicit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time</w:t>
            </w:r>
            <w:r>
              <w:rPr>
                <w:rFonts w:ascii="Arial" w:hAnsi="Arial" w:eastAsia="Arial" w:cs="Arial"/>
                <w:color w:val="auto"/>
                <w:spacing w:val="15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references</w:t>
            </w:r>
          </w:p>
          <w:p w14:paraId="5965458F">
            <w:pPr>
              <w:snapToGrid w:val="0"/>
              <w:spacing w:before="1" w:line="240" w:lineRule="auto"/>
              <w:ind w:left="213" w:right="133" w:hanging="1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through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lexis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continues, ongoing, ha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ve begun to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reference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2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current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trends,</w:t>
            </w:r>
            <w:r>
              <w:rPr>
                <w:rFonts w:ascii="Arial" w:hAnsi="Arial" w:eastAsia="Arial" w:cs="Arial"/>
                <w:color w:val="auto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seasonality,</w:t>
            </w:r>
            <w:r>
              <w:rPr>
                <w:rFonts w:ascii="Arial" w:hAnsi="Arial" w:eastAsia="Arial" w:cs="Arial"/>
                <w:color w:val="auto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change/</w:t>
            </w:r>
            <w:r>
              <w:rPr>
                <w:rFonts w:ascii="Arial" w:hAnsi="Arial" w:eastAsia="Arial" w:cs="Arial"/>
                <w:color w:val="auto"/>
                <w:sz w:val="18"/>
                <w:szCs w:val="18"/>
              </w:rPr>
              <w:t xml:space="preserve">   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newness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keep their homes well heated this</w:t>
            </w:r>
            <w:r>
              <w:rPr>
                <w:rFonts w:ascii="Malgun Gothic" w:hAnsi="Malgun Gothic" w:eastAsia="Malgun Gothic" w:cs="Malgun Gothic"/>
                <w:color w:val="auto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winter;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after fresh revelations, a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 xml:space="preserve"> new role as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)</w:t>
            </w:r>
          </w:p>
        </w:tc>
      </w:tr>
      <w:tr w14:paraId="661176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right"/>
        </w:trPr>
        <w:tc>
          <w:tcPr>
            <w:tcW w:w="1168" w:type="dxa"/>
            <w:tcBorders>
              <w:bottom w:val="single" w:color="auto" w:sz="12" w:space="0"/>
            </w:tcBorders>
            <w:vAlign w:val="top"/>
          </w:tcPr>
          <w:p w14:paraId="1C89B19C">
            <w:pPr>
              <w:snapToGrid w:val="0"/>
              <w:spacing w:before="27" w:line="240" w:lineRule="auto"/>
              <w:ind w:left="129" w:right="137" w:hanging="11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Unexpected-</w:t>
            </w:r>
            <w:r>
              <w:rPr>
                <w:rFonts w:ascii="Arial" w:hAnsi="Arial" w:eastAsia="Arial" w:cs="Arial"/>
                <w:color w:val="auto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12"/>
                <w:sz w:val="18"/>
                <w:szCs w:val="18"/>
              </w:rPr>
              <w:t>ness</w:t>
            </w:r>
          </w:p>
        </w:tc>
        <w:tc>
          <w:tcPr>
            <w:tcW w:w="2509" w:type="dxa"/>
            <w:tcBorders>
              <w:bottom w:val="single" w:color="auto" w:sz="12" w:space="0"/>
            </w:tcBorders>
            <w:vAlign w:val="top"/>
          </w:tcPr>
          <w:p w14:paraId="5D67B512">
            <w:pPr>
              <w:snapToGrid w:val="0"/>
              <w:spacing w:line="240" w:lineRule="auto"/>
              <w:ind w:left="146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6"/>
                <w:position w:val="2"/>
                <w:sz w:val="18"/>
                <w:szCs w:val="18"/>
              </w:rPr>
              <w:t>unexpected</w:t>
            </w:r>
          </w:p>
        </w:tc>
        <w:tc>
          <w:tcPr>
            <w:tcW w:w="4821" w:type="dxa"/>
            <w:tcBorders>
              <w:bottom w:val="single" w:color="auto" w:sz="12" w:space="0"/>
            </w:tcBorders>
            <w:vAlign w:val="top"/>
          </w:tcPr>
          <w:p w14:paraId="090D3AB9">
            <w:pPr>
              <w:snapToGrid w:val="0"/>
              <w:spacing w:before="2" w:line="240" w:lineRule="auto"/>
              <w:ind w:left="209" w:right="27" w:hanging="109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Evaluations</w:t>
            </w:r>
            <w:r>
              <w:rPr>
                <w:rFonts w:ascii="Arial" w:hAnsi="Arial" w:eastAsia="Arial" w:cs="Arial"/>
                <w:color w:val="auto"/>
                <w:spacing w:val="10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of</w:t>
            </w:r>
            <w:r>
              <w:rPr>
                <w:rFonts w:ascii="Arial" w:hAnsi="Arial" w:eastAsia="Arial" w:cs="Arial"/>
                <w:color w:val="auto"/>
                <w:spacing w:val="10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unexpectedness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diferent, a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stonishing,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strange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),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surprise/e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xpectations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8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shock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at North Cottesloe quiz night, people</w:t>
            </w:r>
            <w:r>
              <w:rPr>
                <w:rFonts w:ascii="Malgun Gothic" w:hAnsi="Malgun Gothic" w:eastAsia="Malgun Gothic" w:cs="Malgun Gothic"/>
                <w:color w:val="auto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8"/>
                <w:sz w:val="18"/>
                <w:szCs w:val="18"/>
              </w:rPr>
              <w:t>just rea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lly can’t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believe it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8"/>
                <w:w w:val="102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comparisons</w:t>
            </w:r>
            <w:r>
              <w:rPr>
                <w:rFonts w:ascii="Arial" w:hAnsi="Arial" w:eastAsia="Arial" w:cs="Arial"/>
                <w:color w:val="auto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that</w:t>
            </w:r>
            <w:r>
              <w:rPr>
                <w:rFonts w:ascii="Arial" w:hAnsi="Arial" w:eastAsia="Arial" w:cs="Arial"/>
                <w:color w:val="auto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indicate</w:t>
            </w:r>
            <w:r>
              <w:rPr>
                <w:rFonts w:ascii="Arial" w:hAnsi="Arial" w:eastAsia="Arial" w:cs="Arial"/>
                <w:color w:val="auto"/>
                <w:spacing w:val="15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unusuality</w:t>
            </w:r>
            <w:r>
              <w:rPr>
                <w:rFonts w:ascii="Arial" w:hAnsi="Arial" w:eastAsia="Arial" w:cs="Arial"/>
                <w:color w:val="auto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7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7"/>
                <w:sz w:val="18"/>
                <w:szCs w:val="18"/>
              </w:rPr>
              <w:t>the</w:t>
            </w:r>
            <w:r>
              <w:rPr>
                <w:rFonts w:ascii="Malgun Gothic" w:hAnsi="Malgun Gothic" w:eastAsia="Malgun Gothic" w:cs="Malgun Gothic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ﬁrst time since</w:t>
            </w:r>
            <w:r>
              <w:rPr>
                <w:rFonts w:ascii="Malgun Gothic" w:hAnsi="Malgun Gothic" w:eastAsia="Malgun Gothic" w:cs="Malgun Gothic"/>
                <w:color w:val="auto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1958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);</w:t>
            </w:r>
            <w:r>
              <w:rPr>
                <w:rFonts w:ascii="Arial" w:hAnsi="Arial" w:eastAsia="Arial" w:cs="Arial"/>
                <w:color w:val="auto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references</w:t>
            </w:r>
            <w:r>
              <w:rPr>
                <w:rFonts w:ascii="Arial" w:hAnsi="Arial" w:eastAsia="Arial" w:cs="Arial"/>
                <w:color w:val="auto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to</w:t>
            </w:r>
            <w:r>
              <w:rPr>
                <w:rFonts w:ascii="Arial" w:hAnsi="Arial" w:eastAsia="Arial" w:cs="Arial"/>
                <w:color w:val="auto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unusual</w:t>
            </w:r>
          </w:p>
          <w:p w14:paraId="7117DFDA">
            <w:pPr>
              <w:snapToGrid w:val="0"/>
              <w:spacing w:line="240" w:lineRule="auto"/>
              <w:jc w:val="right"/>
              <w:rPr>
                <w:rFonts w:ascii="Arial" w:hAnsi="Arial" w:eastAsia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auto"/>
                <w:spacing w:val="-10"/>
                <w:sz w:val="18"/>
                <w:szCs w:val="18"/>
              </w:rPr>
              <w:t>hap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penings</w:t>
            </w:r>
            <w:r>
              <w:rPr>
                <w:rFonts w:ascii="Arial" w:hAnsi="Arial" w:eastAsia="Arial" w:cs="Arial"/>
                <w:color w:val="auto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color w:val="auto"/>
                <w:spacing w:val="-9"/>
                <w:sz w:val="18"/>
                <w:szCs w:val="18"/>
              </w:rPr>
              <w:t>(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British man survives</w:t>
            </w:r>
            <w:r>
              <w:rPr>
                <w:rFonts w:ascii="Malgun Gothic" w:hAnsi="Malgun Gothic" w:eastAsia="Malgun Gothic" w:cs="Malgun Gothic"/>
                <w:color w:val="auto"/>
                <w:spacing w:val="19"/>
                <w:w w:val="101"/>
                <w:sz w:val="18"/>
                <w:szCs w:val="18"/>
              </w:rPr>
              <w:t xml:space="preserve"> </w:t>
            </w:r>
            <w:r>
              <w:rPr>
                <w:rFonts w:ascii="Malgun Gothic" w:hAnsi="Malgun Gothic" w:eastAsia="Malgun Gothic" w:cs="Malgun Gothic"/>
                <w:color w:val="auto"/>
                <w:spacing w:val="-9"/>
                <w:sz w:val="18"/>
                <w:szCs w:val="18"/>
              </w:rPr>
              <w:t>15-storey plummet</w:t>
            </w:r>
            <w:r>
              <w:rPr>
                <w:rFonts w:ascii="Arial" w:hAnsi="Arial" w:eastAsia="Arial" w:cs="Arial"/>
                <w:color w:val="auto"/>
                <w:spacing w:val="-6"/>
                <w:sz w:val="18"/>
                <w:szCs w:val="18"/>
              </w:rPr>
              <w:t>)</w:t>
            </w:r>
          </w:p>
        </w:tc>
      </w:tr>
    </w:tbl>
    <w:p w14:paraId="03DC118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</w:p>
    <w:p w14:paraId="08F3814D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7B6D36DC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3C2FCF6D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7F233ABD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3F7E84A9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6DB8FE02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1B44F9DC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0E262147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13B57C32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132749BC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2CEC4C3C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6033B96F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2C210AC7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26C14E91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0F8F03E3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08F1693A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5364C708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59D63653"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38ECCC5B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5928D8A8"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b w:val="0"/>
          <w:bCs w:val="0"/>
          <w:color w:val="auto"/>
          <w:kern w:val="0"/>
          <w:sz w:val="18"/>
          <w:szCs w:val="18"/>
          <w:lang w:val="en-US" w:eastAsia="zh-CN" w:bidi="ar"/>
        </w:rPr>
      </w:pPr>
    </w:p>
    <w:p w14:paraId="4148EBCE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6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34E7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65CE0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65CE0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863239"/>
    <w:rsid w:val="0BB51046"/>
    <w:rsid w:val="0BC006D4"/>
    <w:rsid w:val="0BE36068"/>
    <w:rsid w:val="0BEE1D6D"/>
    <w:rsid w:val="0BEE4706"/>
    <w:rsid w:val="0BFA3DCF"/>
    <w:rsid w:val="0BFE604C"/>
    <w:rsid w:val="0C641618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451A69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536CA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9A21D0"/>
    <w:rsid w:val="21A3747D"/>
    <w:rsid w:val="21B57DA4"/>
    <w:rsid w:val="226C2D89"/>
    <w:rsid w:val="22B300F1"/>
    <w:rsid w:val="234B3AD2"/>
    <w:rsid w:val="23635DF0"/>
    <w:rsid w:val="23FB54A3"/>
    <w:rsid w:val="24050C72"/>
    <w:rsid w:val="24412B22"/>
    <w:rsid w:val="2475324A"/>
    <w:rsid w:val="2492364B"/>
    <w:rsid w:val="257D669D"/>
    <w:rsid w:val="25B739FC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2A528EC"/>
    <w:rsid w:val="33337C0B"/>
    <w:rsid w:val="335D6242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2952FD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342956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746179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0FD5A49"/>
    <w:rsid w:val="51B409BF"/>
    <w:rsid w:val="528D6D87"/>
    <w:rsid w:val="529034C5"/>
    <w:rsid w:val="52CF14D3"/>
    <w:rsid w:val="52F40B29"/>
    <w:rsid w:val="53B467DE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2142DF"/>
    <w:rsid w:val="6533373E"/>
    <w:rsid w:val="65540037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2D07B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DDB65BC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2025-09-14T06:30:09Z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